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5" w:rsidRPr="007D5D97" w:rsidRDefault="00DB41F5" w:rsidP="0030014D">
      <w:pPr>
        <w:pStyle w:val="ListParagraph"/>
        <w:bidi/>
        <w:ind w:left="-563"/>
        <w:jc w:val="both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أصحاب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المعالي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والسعادة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</w:p>
    <w:p w:rsidR="0030014D" w:rsidRPr="007D5D97" w:rsidRDefault="0030014D" w:rsidP="00DB41F5">
      <w:pPr>
        <w:pStyle w:val="ListParagraph"/>
        <w:bidi/>
        <w:ind w:left="-563"/>
        <w:jc w:val="both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الزملاء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والحضور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الكرام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،</w:t>
      </w:r>
    </w:p>
    <w:p w:rsidR="0030014D" w:rsidRPr="007D5D97" w:rsidRDefault="0030014D" w:rsidP="0030014D">
      <w:pPr>
        <w:pStyle w:val="ListParagraph"/>
        <w:bidi/>
        <w:ind w:left="-563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30014D" w:rsidRPr="007D5D97" w:rsidRDefault="00686903" w:rsidP="00F52AE8">
      <w:pPr>
        <w:pStyle w:val="ListParagraph"/>
        <w:bidi/>
        <w:ind w:left="-563"/>
        <w:jc w:val="both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بمناسبةِ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اليوم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العالمي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لحقوق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أحيِّيكم</w:t>
      </w:r>
      <w:r w:rsidR="003964D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باسم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964D7" w:rsidRPr="007D5D97">
        <w:rPr>
          <w:rFonts w:ascii="Simplified Arabic" w:hAnsi="Simplified Arabic" w:cs="Simplified Arabic"/>
          <w:b/>
          <w:bCs/>
          <w:sz w:val="44"/>
          <w:szCs w:val="44"/>
          <w:lang w:bidi="ar-LB"/>
        </w:rPr>
        <w:t xml:space="preserve"> </w:t>
      </w:r>
      <w:r w:rsidR="003964D7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الهيئة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964D7" w:rsidRPr="007D5D97">
        <w:rPr>
          <w:rFonts w:ascii="Simplified Arabic" w:hAnsi="Simplified Arabic" w:cs="Simplified Arabic"/>
          <w:b/>
          <w:bCs/>
          <w:sz w:val="44"/>
          <w:szCs w:val="44"/>
          <w:lang w:bidi="ar-LB"/>
        </w:rPr>
        <w:t xml:space="preserve"> </w:t>
      </w:r>
      <w:r w:rsidR="003964D7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المنظمة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964D7" w:rsidRPr="007D5D97">
        <w:rPr>
          <w:rFonts w:ascii="Simplified Arabic" w:hAnsi="Simplified Arabic" w:cs="Simplified Arabic"/>
          <w:b/>
          <w:bCs/>
          <w:sz w:val="44"/>
          <w:szCs w:val="44"/>
          <w:lang w:bidi="ar-LB"/>
        </w:rPr>
        <w:t xml:space="preserve"> </w:t>
      </w:r>
      <w:r w:rsidR="003964D7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للاتصالات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964D7" w:rsidRPr="007D5D97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في لبنان</w:t>
      </w:r>
      <w:r w:rsidR="0030014D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30014D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ويسر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ُّ</w:t>
      </w:r>
      <w:r w:rsidR="0030014D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ني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0014D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30014D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أن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أحيِّي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اللبناني 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وأن أحاول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0014D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المساهمة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البسيطة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بتأدية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F52AE8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وهو سببُ وجودِ الهيئةِ،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بعضاً مم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 له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ند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نا، </w:t>
      </w:r>
      <w:r w:rsidR="003964D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</w:t>
      </w:r>
      <w:r w:rsidR="003964D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عرض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3964D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30014D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لك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30014D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م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عن </w:t>
      </w:r>
      <w:r w:rsidR="00900D90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إحدى مسؤوليات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2D101C" w:rsidRPr="007D5D97">
        <w:rPr>
          <w:rFonts w:ascii="Simplified Arabic" w:hAnsi="Simplified Arabic" w:cs="Simplified Arabic"/>
          <w:b/>
          <w:bCs/>
          <w:sz w:val="44"/>
          <w:szCs w:val="44"/>
          <w:lang w:bidi="ar-LB"/>
        </w:rPr>
        <w:t xml:space="preserve"> </w:t>
      </w:r>
      <w:r w:rsidR="002D101C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الهيئة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2D101C" w:rsidRPr="007D5D97">
        <w:rPr>
          <w:rFonts w:ascii="Simplified Arabic" w:hAnsi="Simplified Arabic" w:cs="Simplified Arabic"/>
          <w:b/>
          <w:bCs/>
          <w:sz w:val="44"/>
          <w:szCs w:val="44"/>
          <w:lang w:bidi="ar-LB"/>
        </w:rPr>
        <w:t xml:space="preserve"> </w:t>
      </w:r>
      <w:r w:rsidR="002D101C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المنظمة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ِ </w:t>
      </w:r>
      <w:r w:rsidR="002D101C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للاتصالات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0014D" w:rsidRPr="007D5D97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وهُوَ</w:t>
      </w:r>
      <w:r w:rsidR="0030014D" w:rsidRPr="007D5D97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موضوع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0014D" w:rsidRPr="007D5D97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حماية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0014D" w:rsidRPr="007D5D97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</w:t>
      </w:r>
      <w:r w:rsidR="0030014D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المستهلك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30014D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في </w:t>
      </w:r>
      <w:r w:rsidR="00F52AE8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</w:t>
      </w:r>
      <w:r w:rsidR="0030014D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قطاع</w:t>
      </w:r>
      <w:r w:rsidR="0095565B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ِ</w:t>
      </w:r>
      <w:r w:rsidR="00F52AE8" w:rsidRPr="007D5D97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.</w:t>
      </w:r>
    </w:p>
    <w:p w:rsidR="0030014D" w:rsidRPr="007D5D97" w:rsidRDefault="0030014D" w:rsidP="0030014D">
      <w:pPr>
        <w:pStyle w:val="ListParagraph"/>
        <w:bidi/>
        <w:ind w:left="-563"/>
        <w:jc w:val="both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30014D" w:rsidRPr="007D5D97" w:rsidRDefault="004D443A" w:rsidP="00686903">
      <w:pPr>
        <w:pStyle w:val="ListParagraph"/>
        <w:bidi/>
        <w:ind w:left="-563"/>
        <w:jc w:val="both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شكّل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حماية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حقوق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ين إحدى أهم</w:t>
      </w:r>
      <w:r w:rsidR="00F52AE8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أولويات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الهيئة. فبالإضافة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إرساء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بيئة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تنظيمي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ُحف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ز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قيام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سوق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اتصالات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تنافسية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لتقديم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أفضل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الخدمات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بأسعار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معقولة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وبمستويات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مُثلى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لجودة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الخدمة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عنى الهيئة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على حدّ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سواء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بحماية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حقوق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مستهلكي خدمات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قطاع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وضمان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احترام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معلومات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هم الشخصي</w:t>
      </w:r>
      <w:r w:rsidR="0095565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ة.</w:t>
      </w:r>
    </w:p>
    <w:p w:rsidR="008D28F7" w:rsidRPr="007D5D97" w:rsidRDefault="004D443A" w:rsidP="0030014D">
      <w:pPr>
        <w:pStyle w:val="ListParagraph"/>
        <w:bidi/>
        <w:ind w:left="-563"/>
        <w:jc w:val="both"/>
        <w:rPr>
          <w:rFonts w:ascii="Simplified Arabic" w:hAnsi="Simplified Arabic" w:cs="Simplified Arabic"/>
          <w:sz w:val="16"/>
          <w:szCs w:val="16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</w:p>
    <w:p w:rsidR="0030014D" w:rsidRPr="007D5D97" w:rsidRDefault="008D28F7" w:rsidP="008D28F7">
      <w:pPr>
        <w:pStyle w:val="ListParagraph"/>
        <w:bidi/>
        <w:ind w:left="-563"/>
        <w:jc w:val="both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</w:pPr>
      <w:r w:rsidRPr="007D5D97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  <w:t>معالجة الشكاوى</w:t>
      </w:r>
      <w:r w:rsidR="004D443A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 xml:space="preserve">   </w:t>
      </w:r>
    </w:p>
    <w:p w:rsidR="00DB41F5" w:rsidRPr="007D5D97" w:rsidRDefault="00F52AE8" w:rsidP="00F52AE8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لقد و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قّعت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"الهيئة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المنظمة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للاتصالات" مذكرة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تفاهم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مع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وزارة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الاقتصاد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والتجارة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عام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2009 كخطوة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أساسية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تهد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ف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إلى </w:t>
      </w:r>
      <w:hyperlink r:id="rId7" w:history="1">
        <w:r w:rsidR="00C7292E" w:rsidRPr="007D5D97">
          <w:rPr>
            <w:rFonts w:ascii="Simplified Arabic" w:hAnsi="Simplified Arabic" w:cs="Simplified Arabic"/>
            <w:sz w:val="44"/>
            <w:szCs w:val="44"/>
            <w:rtl/>
            <w:lang w:bidi="ar-LB"/>
          </w:rPr>
          <w:t>حماية</w:t>
        </w:r>
        <w:r w:rsidR="00FA3124" w:rsidRPr="007D5D97">
          <w:rPr>
            <w:rFonts w:ascii="Simplified Arabic" w:hAnsi="Simplified Arabic" w:cs="Simplified Arabic" w:hint="cs"/>
            <w:sz w:val="44"/>
            <w:szCs w:val="44"/>
            <w:rtl/>
            <w:lang w:bidi="ar-LB"/>
          </w:rPr>
          <w:t>ِ</w:t>
        </w:r>
        <w:r w:rsidR="00C7292E" w:rsidRPr="007D5D97">
          <w:rPr>
            <w:rFonts w:ascii="Simplified Arabic" w:hAnsi="Simplified Arabic" w:cs="Simplified Arabic"/>
            <w:sz w:val="44"/>
            <w:szCs w:val="44"/>
            <w:rtl/>
            <w:lang w:bidi="ar-LB"/>
          </w:rPr>
          <w:t xml:space="preserve"> حقوق</w:t>
        </w:r>
        <w:r w:rsidR="00FA3124" w:rsidRPr="007D5D97">
          <w:rPr>
            <w:rFonts w:ascii="Simplified Arabic" w:hAnsi="Simplified Arabic" w:cs="Simplified Arabic" w:hint="cs"/>
            <w:sz w:val="44"/>
            <w:szCs w:val="44"/>
            <w:rtl/>
            <w:lang w:bidi="ar-LB"/>
          </w:rPr>
          <w:t>ِ</w:t>
        </w:r>
        <w:r w:rsidR="00C7292E" w:rsidRPr="007D5D97">
          <w:rPr>
            <w:rFonts w:ascii="Simplified Arabic" w:hAnsi="Simplified Arabic" w:cs="Simplified Arabic"/>
            <w:sz w:val="44"/>
            <w:szCs w:val="44"/>
            <w:rtl/>
            <w:lang w:bidi="ar-LB"/>
          </w:rPr>
          <w:t xml:space="preserve"> مستهلكي خدمات</w:t>
        </w:r>
        <w:r w:rsidR="00FA3124" w:rsidRPr="007D5D97">
          <w:rPr>
            <w:rFonts w:ascii="Simplified Arabic" w:hAnsi="Simplified Arabic" w:cs="Simplified Arabic" w:hint="cs"/>
            <w:sz w:val="44"/>
            <w:szCs w:val="44"/>
            <w:rtl/>
            <w:lang w:bidi="ar-LB"/>
          </w:rPr>
          <w:t>ِ</w:t>
        </w:r>
        <w:r w:rsidR="00C7292E" w:rsidRPr="007D5D97">
          <w:rPr>
            <w:rFonts w:ascii="Simplified Arabic" w:hAnsi="Simplified Arabic" w:cs="Simplified Arabic"/>
            <w:sz w:val="44"/>
            <w:szCs w:val="44"/>
            <w:rtl/>
            <w:lang w:bidi="ar-LB"/>
          </w:rPr>
          <w:t xml:space="preserve"> الاتصالات</w:t>
        </w:r>
        <w:r w:rsidR="00FA3124" w:rsidRPr="007D5D97">
          <w:rPr>
            <w:rFonts w:ascii="Simplified Arabic" w:hAnsi="Simplified Arabic" w:cs="Simplified Arabic" w:hint="cs"/>
            <w:sz w:val="44"/>
            <w:szCs w:val="44"/>
            <w:rtl/>
            <w:lang w:bidi="ar-LB"/>
          </w:rPr>
          <w:t>ِ</w:t>
        </w:r>
        <w:r w:rsidR="00C7292E" w:rsidRPr="007D5D97">
          <w:rPr>
            <w:rFonts w:ascii="Simplified Arabic" w:hAnsi="Simplified Arabic" w:cs="Simplified Arabic"/>
            <w:sz w:val="44"/>
            <w:szCs w:val="44"/>
            <w:rtl/>
            <w:lang w:bidi="ar-LB"/>
          </w:rPr>
          <w:t xml:space="preserve"> ومعالجة</w:t>
        </w:r>
        <w:r w:rsidR="00FA3124" w:rsidRPr="007D5D97">
          <w:rPr>
            <w:rFonts w:ascii="Simplified Arabic" w:hAnsi="Simplified Arabic" w:cs="Simplified Arabic" w:hint="cs"/>
            <w:sz w:val="44"/>
            <w:szCs w:val="44"/>
            <w:rtl/>
            <w:lang w:bidi="ar-LB"/>
          </w:rPr>
          <w:t>ِ</w:t>
        </w:r>
        <w:r w:rsidR="00C7292E" w:rsidRPr="007D5D97">
          <w:rPr>
            <w:rFonts w:ascii="Simplified Arabic" w:hAnsi="Simplified Arabic" w:cs="Simplified Arabic"/>
            <w:sz w:val="44"/>
            <w:szCs w:val="44"/>
            <w:rtl/>
            <w:lang w:bidi="ar-LB"/>
          </w:rPr>
          <w:t xml:space="preserve"> شكاو</w:t>
        </w:r>
      </w:hyperlink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اه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. وكان السيد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فؤاد فليفل، مدير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عام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وزارة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الاقتصاد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والتجارة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ورئيس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مديري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حماية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المستهلك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FA312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، قد أنش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أَ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خطاً ساخناً في المديرية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لمعالجة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شكاوى جميع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المستهلكين، بما فيها الشكاوى المرتبطة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بقطاع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الاتصالات.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 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و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على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ضوء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المذكرة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، تكافل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المؤسستان و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شارك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تا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في 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الخط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الساخن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، كخطوة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أولى لخدمة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مستهلكي الاتصالات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على نحو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أفضل.</w:t>
      </w:r>
    </w:p>
    <w:p w:rsidR="00DB41F5" w:rsidRPr="007D5D97" w:rsidRDefault="00C7292E" w:rsidP="00686903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خلال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30014D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سنوات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الماضية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تلقّت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الهيئة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وعال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جت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بالتعاون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مع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مديرية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حماية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المستهلك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في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وزارة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الاقتصاد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والتجارة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عدداً كبيراً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من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شكاوى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المستهلكين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بما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فيها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الشكاوى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التي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عنى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بنوعية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الخدمة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السيئةِ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خرق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خصوصي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المستهلك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خطأ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في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الفوترة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أيَّ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خرق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لشروط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تقديم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الخدمة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.</w:t>
      </w:r>
    </w:p>
    <w:p w:rsidR="00DB41F5" w:rsidRPr="007D5D97" w:rsidRDefault="00DB41F5" w:rsidP="00DB41F5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4D443A" w:rsidRPr="007D5D97" w:rsidRDefault="004D443A" w:rsidP="00F52AE8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DB41F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لقد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طالت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الشكاوى عدداً من 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قد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 الخدمات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مجال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كمقدّمي خدماتِ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الهاتف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الثابت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والخلوي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الإنترنت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ومقد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مي خدمات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القيمة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المضافة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الذين تعاونوا </w:t>
      </w:r>
      <w:r w:rsidR="0068690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بشكلٍ عامٍ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مع الهيئة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بهدف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معالجة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هذه الشكاوى بما يخد</w:t>
      </w:r>
      <w:r w:rsidR="00F52AE8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مصلحة</w:t>
      </w:r>
      <w:r w:rsidR="00FA31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المستهلك.</w:t>
      </w:r>
    </w:p>
    <w:p w:rsidR="0048684C" w:rsidRPr="007D5D97" w:rsidRDefault="0048684C" w:rsidP="0048684C">
      <w:pPr>
        <w:bidi/>
        <w:spacing w:line="276" w:lineRule="auto"/>
        <w:ind w:left="-563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</w:pPr>
    </w:p>
    <w:p w:rsidR="008D28F7" w:rsidRPr="007D5D97" w:rsidRDefault="008D28F7" w:rsidP="0048684C">
      <w:pPr>
        <w:bidi/>
        <w:spacing w:line="276" w:lineRule="auto"/>
        <w:ind w:left="-563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</w:pPr>
      <w:r w:rsidRPr="007D5D97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  <w:t>حماية</w:t>
      </w:r>
      <w:r w:rsidR="001E67A3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ِ</w:t>
      </w:r>
      <w:r w:rsidRPr="007D5D97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  <w:t xml:space="preserve"> على </w:t>
      </w: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الإنترنت</w:t>
      </w:r>
    </w:p>
    <w:p w:rsidR="00900D90" w:rsidRPr="007D5D97" w:rsidRDefault="004D443A" w:rsidP="00421E11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من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مهام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في مجال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المستهلك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C7292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على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الإنترنت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</w:t>
      </w:r>
      <w:r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لقد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اتخذت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تدابير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متعدّدة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هذا المجال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EF48B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تعل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بنشر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التوعي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بهدف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تطوير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المعرفة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المجتمع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اللبناني. </w:t>
      </w: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14"/>
          <w:szCs w:val="14"/>
          <w:rtl/>
          <w:lang w:bidi="ar-LB"/>
        </w:rPr>
      </w:pP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على سبيل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المثال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خص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صت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قسماً خاصاً على موق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 الإلكتروني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 يقدّم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للأهل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:</w:t>
      </w:r>
    </w:p>
    <w:p w:rsidR="00900D90" w:rsidRPr="007D5D97" w:rsidRDefault="004D443A" w:rsidP="00EF48B5">
      <w:pPr>
        <w:pStyle w:val="ListParagraph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/>
          <w:sz w:val="44"/>
          <w:szCs w:val="44"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معلومات</w:t>
      </w:r>
      <w:r w:rsidR="00EF48B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حول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EF48B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بعضِ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أدوات</w:t>
      </w:r>
      <w:r w:rsidR="00EF48B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مراقبة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على الإنترنت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</w:p>
    <w:p w:rsidR="006B379F" w:rsidRPr="007D5D97" w:rsidRDefault="00EE466E" w:rsidP="008D4D0C">
      <w:pPr>
        <w:pStyle w:val="ListParagraph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عق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ود</w:t>
      </w:r>
      <w:r w:rsidR="00EF48B5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بين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الأهل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تضم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بنوداً واضحة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تساهم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خف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أمكاني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انجرارِ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ممارسات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خاطئة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على الإنترنت</w:t>
      </w:r>
      <w:r w:rsidR="00D06BE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بالإضافة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معلومات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تدابيرَ عديدةٍ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في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هذا المجال.</w:t>
      </w: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12"/>
          <w:szCs w:val="12"/>
          <w:rtl/>
          <w:lang w:bidi="ar-LB"/>
        </w:rPr>
      </w:pPr>
    </w:p>
    <w:p w:rsidR="00900D90" w:rsidRPr="007D5D97" w:rsidRDefault="00D06BE3" w:rsidP="00D06BE3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كما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قامت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بخطوات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عدّة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لتحفيز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على الإنترنت، عبر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استضاف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طاولات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مستديرة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ج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مقد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 خدمات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الإنترنت، 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بائ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عي البرامج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، 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المنظمات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غير الحكومي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وأعضاء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اللجان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التشريعي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لتباد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الرؤى بخصوص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هذا الموضوع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والإجراءات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الواجب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تنفيذ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 وتقديم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التوصيات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بشأن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ها.</w:t>
      </w: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900D90" w:rsidRPr="007D5D97" w:rsidRDefault="006B379F" w:rsidP="00421E11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كما شاركت</w:t>
      </w:r>
      <w:r w:rsidR="00D06BE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مؤتمرات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محلي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EE466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وورش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عمل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تناولت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موضوع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الأطفال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لبنان من جميع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جوانب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ه.</w:t>
      </w:r>
    </w:p>
    <w:p w:rsidR="006B379F" w:rsidRPr="007D5D97" w:rsidRDefault="007E5619" w:rsidP="007E5619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قدّمت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ْ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عروضاً في المد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رس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للأهل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والتلامذَةِ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</w:t>
      </w:r>
      <w:r w:rsidR="00EE1F7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شاركت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EE1F73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و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ر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ش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عمل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وطنية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تنظيم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مؤسسة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التميّ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ز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للتعل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C7292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والرياضة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ومؤسسة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الرؤية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العالمية. وتعاونت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مع المجلس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الأعلى للطفولة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عبر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المشاركة في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اللج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انِ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التقني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والقانونيةِ،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ومناقشة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وضع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ِ 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ميثاق</w:t>
      </w:r>
      <w:r w:rsidR="00421E1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سلوك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لمقاهي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الإنترنت ولمقد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 خدمات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6B379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الإنترنت. </w:t>
      </w:r>
    </w:p>
    <w:p w:rsidR="006B379F" w:rsidRPr="007D5D97" w:rsidRDefault="006B379F" w:rsidP="006B379F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</w:p>
    <w:p w:rsidR="008D28F7" w:rsidRPr="007D5D97" w:rsidRDefault="008D28F7" w:rsidP="008D28F7">
      <w:pPr>
        <w:bidi/>
        <w:spacing w:line="276" w:lineRule="auto"/>
        <w:ind w:left="-563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</w:pP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الأمن</w:t>
      </w:r>
      <w:r w:rsidR="008D4D0C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ُ</w:t>
      </w:r>
      <w:r w:rsidRPr="007D5D97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  <w:t xml:space="preserve"> السيبراني</w:t>
      </w:r>
      <w:r w:rsidR="008D4D0C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ُّ</w:t>
      </w:r>
    </w:p>
    <w:p w:rsidR="00900D90" w:rsidRPr="007D5D97" w:rsidRDefault="007E5619" w:rsidP="007E5619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أماَّ </w:t>
      </w:r>
      <w:r w:rsidR="00EE466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في مجال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الأمن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السيبراني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EE466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فلقدْ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ساهمت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بفعالي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وذلك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عبر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المشاركة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مؤتمرات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وأحداث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دولية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EE466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عالج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مواضيع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متعدّدة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الانعكاسات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الاقتصادي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والاجتماعي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للأمن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السيبراني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،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تحد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وحلول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الأمن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والخصوصي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،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التعاون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بين المعنيين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بالقطاع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،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الأمن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القومي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وغير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ها.</w:t>
      </w: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5B4C24" w:rsidRPr="007D5D97" w:rsidRDefault="004D443A" w:rsidP="00A162F0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كذلك، شاركت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بص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ها عضواً </w:t>
      </w:r>
      <w:r w:rsidR="00900D9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مؤسساً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في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"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رصد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العربي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للسلامة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الفضاء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السيبراني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"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في جميع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نشاطات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المرصد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وساهمت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بتنظيم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ها. كما لعبت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دوراً أساسياً على الصعيد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المحلي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عبر إعداد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البحوث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والمشاركة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في عدد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كبير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الأحداث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المحلي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بهدف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تبادل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المعارف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والتجارب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حول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الخطوات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المعتمدة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عالمياً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وإقليميَّاً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ومحلياً في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هذا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مجال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</w:t>
      </w:r>
      <w:r w:rsidR="005B4C2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</w:p>
    <w:p w:rsidR="008D28F7" w:rsidRPr="007D5D97" w:rsidRDefault="008D28F7" w:rsidP="008D28F7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8D28F7" w:rsidRPr="007D5D97" w:rsidRDefault="008D28F7" w:rsidP="008D28F7">
      <w:pPr>
        <w:bidi/>
        <w:spacing w:line="276" w:lineRule="auto"/>
        <w:ind w:left="-563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</w:pP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ذوي الاحتياجات</w:t>
      </w:r>
      <w:r w:rsidR="008D4D0C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 xml:space="preserve"> الخاص</w:t>
      </w:r>
      <w:r w:rsidR="008D4D0C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ِ</w:t>
      </w:r>
    </w:p>
    <w:p w:rsidR="00900D90" w:rsidRPr="007D5D97" w:rsidRDefault="00900D90" w:rsidP="00DF01A7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ومن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مسؤول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8E18F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أيضا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تسهيل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وصول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ذوي الاحتياجات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الخاص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خدمات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وفق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ما نصّت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عليه المادة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الخامسة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قانون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وعليه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وضمن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اطار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صلاحي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 في مجال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حماية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حقوق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عقدت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اجتماعات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متعدّدة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مع الجمعي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ات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المعني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بحماية حقوق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</w:t>
      </w:r>
      <w:r w:rsidR="008D4D0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،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المنظمات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غير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الحكومي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،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المعنيين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الأساسيّينَ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DF01A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القطاع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لمناقشة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آخ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ر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التطو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رات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وشرح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الخطوات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التي قامت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بها الهيئة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لحماية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مستهلك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 خدمات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ذوي الاحتياجات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الخاص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ة.</w:t>
      </w:r>
    </w:p>
    <w:p w:rsidR="00900D90" w:rsidRPr="007D5D97" w:rsidRDefault="00900D90" w:rsidP="00900D90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BF2717" w:rsidRPr="007D5D97" w:rsidRDefault="004D443A" w:rsidP="00930716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DF01A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</w:t>
      </w:r>
      <w:r w:rsidR="00DF01A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ومُ</w:t>
      </w:r>
      <w:r w:rsidR="008E18FB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بمشروع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يتوج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"أصحاب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النظر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الضعيفِ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" حيث طورّت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خ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دمة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صوتية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ضمن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القسم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المتعل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بالمستهلك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على موق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 الإلكتروني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سهّل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خلال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 وصول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أصحاب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النظر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الضعيف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معلومات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حول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حقوق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 في قطاع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الاتصالات؛ وسوف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ي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مّ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تفعيل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هذه الخدمة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خلال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العام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2012.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ومن المتوقّع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أن 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جذ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موقع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نا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عدداً كبيراً من ذوي النظر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الضعيف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الذين يتصفحون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الإنترنت يومياً.</w:t>
      </w:r>
    </w:p>
    <w:p w:rsidR="00BF2717" w:rsidRPr="007D5D97" w:rsidRDefault="00BF2717" w:rsidP="00BF2717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BF2717" w:rsidRPr="007D5D97" w:rsidRDefault="004D443A" w:rsidP="00A162F0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كذلك، شاركت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وبفعاليةٍ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في "قم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تمكين ذوي الاحتياجات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الخاص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الوصول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خدمات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الإنترنت"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تلك ال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قمة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عالمية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التي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تتداول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تطبيقات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الهاتف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الجوال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والخدمات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لمسن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</w:t>
      </w:r>
      <w:r w:rsidR="00A162F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ذوي الاحتياجات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الخاصة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</w:t>
      </w:r>
    </w:p>
    <w:p w:rsidR="00BF2717" w:rsidRPr="007D5D97" w:rsidRDefault="00BF2717" w:rsidP="00BF2717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C925DC" w:rsidRPr="007D5D97" w:rsidRDefault="00BF2717" w:rsidP="0048684C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تسعى الهيئة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اعتماد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A7152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أفضل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الممارسات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لتسهيل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وصول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ذوي الاحتياجات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الخاص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إلى خدمات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الاتصالات.</w:t>
      </w:r>
    </w:p>
    <w:p w:rsidR="00C925DC" w:rsidRPr="007D5D97" w:rsidRDefault="00C925DC" w:rsidP="00C925DC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8D28F7" w:rsidRPr="007D5D97" w:rsidRDefault="00BF2717" w:rsidP="008D28F7">
      <w:pPr>
        <w:bidi/>
        <w:spacing w:line="276" w:lineRule="auto"/>
        <w:ind w:left="-563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LB"/>
        </w:rPr>
      </w:pPr>
      <w:r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ال</w:t>
      </w:r>
      <w:r w:rsidR="008D28F7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مجال</w:t>
      </w:r>
      <w:r w:rsidR="00513630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ُ</w:t>
      </w:r>
      <w:r w:rsidR="008D28F7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 xml:space="preserve"> التنظيمي</w:t>
      </w:r>
      <w:r w:rsidR="00513630" w:rsidRPr="007D5D97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LB"/>
        </w:rPr>
        <w:t>ُّ</w:t>
      </w:r>
    </w:p>
    <w:p w:rsidR="00BF2717" w:rsidRPr="007D5D97" w:rsidRDefault="00A162F0" w:rsidP="0090444F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أما على الصعيد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3612B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التنظيمي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</w:t>
      </w:r>
      <w:r w:rsidR="003612B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فلقد </w:t>
      </w:r>
      <w:r w:rsidR="003612B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أصدرت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3612BE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نظام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شؤون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المستهلك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الذي يُ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حد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د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حقوق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والتزامات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كل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ٍّ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من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BF2717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مستهلك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BF2717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ي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مقد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ي خدمات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الاتصالاتِ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على أنواع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ها.</w:t>
      </w:r>
      <w:r w:rsidR="004D443A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ي</w:t>
      </w:r>
      <w:r w:rsidR="0090444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ضم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هذا النظام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حماية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حقوق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المستهلك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ين 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تجاهَ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تجاوزات</w:t>
      </w:r>
      <w:r w:rsidR="0090444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ومخالفات</w:t>
      </w:r>
      <w:r w:rsidR="0090444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مقد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513630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م</w:t>
      </w:r>
      <w:r w:rsidR="0090444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خدمات</w:t>
      </w:r>
      <w:r w:rsidR="0090444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الإتصالاتِ</w:t>
      </w:r>
      <w:r w:rsidR="003612BE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.</w:t>
      </w:r>
    </w:p>
    <w:p w:rsidR="00BF2717" w:rsidRPr="007D5D97" w:rsidRDefault="00BF2717" w:rsidP="00BF2717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BF2717" w:rsidRPr="007D5D97" w:rsidRDefault="003612BE" w:rsidP="008B1F02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كما 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أصدرت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ْ</w:t>
      </w:r>
      <w:r w:rsidR="0046713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6713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ميثاق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قواعد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الممارسة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للخدمات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ذات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القيمة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المضافة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الذي 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يهدف</w:t>
      </w:r>
      <w:r w:rsidR="0048684C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67134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إلى حماية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مستهلكي هذه الخدمات، وإلقاء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الضوء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على المسؤولية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ناط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بمقدّمي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ها،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وضمان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تطابق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محتوى 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هذهِ 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الخدمات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والترويج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لها وتشغيل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ها مع كافة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الشروط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المنصوص</w:t>
      </w:r>
      <w:r w:rsidR="00513630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8B1F02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عليها</w:t>
      </w:r>
      <w:r w:rsidR="00467134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في الميثاق.</w:t>
      </w:r>
    </w:p>
    <w:p w:rsidR="00BF2717" w:rsidRPr="007D5D97" w:rsidRDefault="00BF2717" w:rsidP="00BF2717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CF1FE5" w:rsidRPr="007D5D97" w:rsidRDefault="00CF1FE5" w:rsidP="00930716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rtl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وأخيرا</w:t>
      </w:r>
      <w:r w:rsidR="00BF271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ً،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عكفت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الهيئة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المنظ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على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تحقيق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حماية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ِ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المواطنين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من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التأثيرات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الصحية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المؤذية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التي </w:t>
      </w:r>
      <w:r w:rsidR="008F3F7F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قدْ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سب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ب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الترد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دات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اللاسلكية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ُ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عبر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إصدار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نظام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الحد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من التعر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ض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البشري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للحقل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الكهرومغناطيسي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والذي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يضع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حدوداً لمستوى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تعرّض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الناس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له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على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الصعيد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/>
          <w:sz w:val="44"/>
          <w:szCs w:val="44"/>
          <w:lang w:bidi="ar-LB"/>
        </w:rPr>
        <w:t xml:space="preserve"> 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الوطني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="0087387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 وت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صب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ح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أ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نظم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نا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نافذ</w:t>
      </w:r>
      <w:r w:rsidR="0087387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بعد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مراجعة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مجلس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الش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ورى وعند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نشر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>ه</w:t>
      </w:r>
      <w:r w:rsidR="00873871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في الجريدة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873871" w:rsidRPr="007D5D97">
        <w:rPr>
          <w:rFonts w:ascii="Simplified Arabic" w:hAnsi="Simplified Arabic" w:cs="Simplified Arabic"/>
          <w:sz w:val="44"/>
          <w:szCs w:val="44"/>
          <w:rtl/>
          <w:lang w:bidi="ar-LB"/>
        </w:rPr>
        <w:t xml:space="preserve"> الرسمية.</w:t>
      </w:r>
    </w:p>
    <w:p w:rsidR="00BF2717" w:rsidRPr="007D5D97" w:rsidRDefault="00BF2717" w:rsidP="00BF2717">
      <w:pPr>
        <w:bidi/>
        <w:spacing w:line="276" w:lineRule="auto"/>
        <w:ind w:left="-563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CF1FE5" w:rsidRPr="007D5D97" w:rsidRDefault="00BF2717" w:rsidP="007D5D97">
      <w:pPr>
        <w:bidi/>
        <w:spacing w:line="276" w:lineRule="auto"/>
        <w:ind w:left="-563"/>
        <w:rPr>
          <w:rFonts w:ascii="Simplified Arabic" w:hAnsi="Simplified Arabic" w:cs="Simplified Arabic"/>
          <w:sz w:val="44"/>
          <w:szCs w:val="44"/>
          <w:lang w:bidi="ar-LB"/>
        </w:rPr>
      </w:pP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وفي الختام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أؤك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د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للمستهلك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اللبناني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أن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الهيئة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المنظمة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للاتصالات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ست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تاب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ع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الاضطلاع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بمسؤوليات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ها تجاه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المستهلك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وتفعِّل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تابع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ا لتأمين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مروحةٍ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واسعة</w:t>
      </w:r>
      <w:r w:rsidR="00930716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من الخدمات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بأفضل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الأسعار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، والجودة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الم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ُ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ثلى، ضامنة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ً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حقوق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َ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ه على أفضل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وجه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ٍ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 وهنيئاً للجميع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بهذا اليوم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 xml:space="preserve"> العالمي</w:t>
      </w:r>
      <w:r w:rsidR="000A27B7"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ِّ</w:t>
      </w:r>
      <w:r w:rsidRPr="007D5D97">
        <w:rPr>
          <w:rFonts w:ascii="Simplified Arabic" w:hAnsi="Simplified Arabic" w:cs="Simplified Arabic" w:hint="cs"/>
          <w:sz w:val="44"/>
          <w:szCs w:val="44"/>
          <w:rtl/>
          <w:lang w:bidi="ar-LB"/>
        </w:rPr>
        <w:t>.</w:t>
      </w:r>
    </w:p>
    <w:sectPr w:rsidR="00CF1FE5" w:rsidRPr="007D5D97" w:rsidSect="0030435E">
      <w:pgSz w:w="11907" w:h="16839" w:code="9"/>
      <w:pgMar w:top="2778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00BC"/>
    <w:multiLevelType w:val="hybridMultilevel"/>
    <w:tmpl w:val="758E43BA"/>
    <w:lvl w:ilvl="0" w:tplc="04090005">
      <w:start w:val="1"/>
      <w:numFmt w:val="bullet"/>
      <w:lvlText w:val="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">
    <w:nsid w:val="652B74FD"/>
    <w:multiLevelType w:val="hybridMultilevel"/>
    <w:tmpl w:val="E0FCE5A4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3A"/>
    <w:rsid w:val="000A27B7"/>
    <w:rsid w:val="001E67A3"/>
    <w:rsid w:val="002D101C"/>
    <w:rsid w:val="0030014D"/>
    <w:rsid w:val="0030435E"/>
    <w:rsid w:val="003612BE"/>
    <w:rsid w:val="003964D7"/>
    <w:rsid w:val="00421E11"/>
    <w:rsid w:val="00467134"/>
    <w:rsid w:val="0048684C"/>
    <w:rsid w:val="004D443A"/>
    <w:rsid w:val="004F51C6"/>
    <w:rsid w:val="00513630"/>
    <w:rsid w:val="005B4C24"/>
    <w:rsid w:val="00686903"/>
    <w:rsid w:val="006B379F"/>
    <w:rsid w:val="007D5D97"/>
    <w:rsid w:val="007E5619"/>
    <w:rsid w:val="00873871"/>
    <w:rsid w:val="008B1F02"/>
    <w:rsid w:val="008D28F7"/>
    <w:rsid w:val="008D4D0C"/>
    <w:rsid w:val="008E18FB"/>
    <w:rsid w:val="008F3F7F"/>
    <w:rsid w:val="00900D90"/>
    <w:rsid w:val="0090444F"/>
    <w:rsid w:val="00930716"/>
    <w:rsid w:val="0095565B"/>
    <w:rsid w:val="009B4669"/>
    <w:rsid w:val="00A162F0"/>
    <w:rsid w:val="00A71520"/>
    <w:rsid w:val="00AA4AE6"/>
    <w:rsid w:val="00BF2717"/>
    <w:rsid w:val="00C67980"/>
    <w:rsid w:val="00C7292E"/>
    <w:rsid w:val="00C925DC"/>
    <w:rsid w:val="00CF1FE5"/>
    <w:rsid w:val="00D02D8F"/>
    <w:rsid w:val="00D06BE3"/>
    <w:rsid w:val="00DB41F5"/>
    <w:rsid w:val="00DF01A7"/>
    <w:rsid w:val="00E54DB5"/>
    <w:rsid w:val="00E803D6"/>
    <w:rsid w:val="00EE1F73"/>
    <w:rsid w:val="00EE20E5"/>
    <w:rsid w:val="00EE466E"/>
    <w:rsid w:val="00EF48B5"/>
    <w:rsid w:val="00F52AE8"/>
    <w:rsid w:val="00F92E9E"/>
    <w:rsid w:val="00FA3124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4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2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4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2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.gov.lb/Protecting-your-rights-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0EA651-FBF0-474B-9236-B0735CDB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 Feghaly</dc:creator>
  <cp:lastModifiedBy>Imad Y. Hoballah</cp:lastModifiedBy>
  <cp:revision>3</cp:revision>
  <cp:lastPrinted>2012-03-15T06:06:00Z</cp:lastPrinted>
  <dcterms:created xsi:type="dcterms:W3CDTF">2012-03-15T06:06:00Z</dcterms:created>
  <dcterms:modified xsi:type="dcterms:W3CDTF">2012-03-15T06:07:00Z</dcterms:modified>
</cp:coreProperties>
</file>